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00"/>
        <w:jc w:val="center"/>
      </w:pPr>
      <w:r>
        <w:rPr>
          <w:rFonts w:ascii="Arial" w:hAnsi="Arial"/>
          <w:b/>
          <w:color w:val="183153"/>
          <w:sz w:val="48"/>
        </w:rPr>
        <w:t>КОМПЛЕКТ СООТВЕТСТВИЯ</w:t>
        <w:br/>
        <w:t>ТРЕБОВАНИЯМ 152‑ФЗ</w:t>
      </w:r>
    </w:p>
    <w:p>
      <w:pPr>
        <w:spacing w:before="360" w:after="480"/>
        <w:jc w:val="center"/>
      </w:pPr>
      <w:r>
        <w:rPr>
          <w:color w:val="2F6F9F"/>
          <w:sz w:val="28"/>
        </w:rPr>
        <w:t>ABS‑Rating • персональные данные обучающихся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99"/>
        <w:gridCol w:w="5199"/>
      </w:tblGrid>
      <w:tr>
        <w:tc>
          <w:tcPr>
            <w:tcW w:type="dxa" w:w="5199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r>
              <w:rPr>
                <w:b/>
              </w:rPr>
              <w:t>Оператор по материалам проекта</w:t>
            </w:r>
          </w:p>
        </w:tc>
        <w:tc>
          <w:tcPr>
            <w:tcW w:type="dxa" w:w="519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ОЧУ «Школа-интернат «Абсолют»</w:t>
            </w:r>
          </w:p>
        </w:tc>
      </w:tr>
      <w:tr>
        <w:tc>
          <w:tcPr>
            <w:tcW w:type="dxa" w:w="5199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r>
              <w:rPr>
                <w:b/>
              </w:rPr>
              <w:t>Система</w:t>
            </w:r>
          </w:p>
        </w:tc>
        <w:tc>
          <w:tcPr>
            <w:tcW w:type="dxa" w:w="519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abs-rating.ru</w:t>
            </w:r>
          </w:p>
        </w:tc>
      </w:tr>
      <w:tr>
        <w:tc>
          <w:tcPr>
            <w:tcW w:type="dxa" w:w="5199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r>
              <w:rPr>
                <w:b/>
              </w:rPr>
              <w:t>Редакция</w:t>
            </w:r>
          </w:p>
        </w:tc>
        <w:tc>
          <w:tcPr>
            <w:tcW w:type="dxa" w:w="519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18 июля 2026 года</w:t>
            </w:r>
          </w:p>
        </w:tc>
      </w:tr>
      <w:tr>
        <w:tc>
          <w:tcPr>
            <w:tcW w:type="dxa" w:w="5199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r>
              <w:rPr>
                <w:b/>
              </w:rPr>
              <w:t>Статус</w:t>
            </w:r>
          </w:p>
        </w:tc>
        <w:tc>
          <w:tcPr>
            <w:tcW w:type="dxa" w:w="5199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для проверки и утверждения оператором</w:t>
            </w:r>
          </w:p>
        </w:tc>
      </w:tr>
    </w:tbl>
    <w:p>
      <w:pPr>
        <w:spacing w:before="560"/>
        <w:jc w:val="center"/>
      </w:pPr>
      <w:r>
        <w:rPr>
          <w:i/>
          <w:color w:val="5B6573"/>
          <w:sz w:val="17"/>
        </w:rPr>
        <w:t>Рабочий документ. Фактические сведения об инфраструктуре, договорах и уведомлении Роскомнадзора подлежат отдельной проверке.</w:t>
      </w:r>
    </w:p>
    <w:p>
      <w:r>
        <w:br w:type="page"/>
      </w:r>
    </w:p>
    <w:p>
      <w:pPr>
        <w:spacing w:before="40" w:after="240"/>
        <w:jc w:val="center"/>
      </w:pPr>
      <w:r>
        <w:rPr>
          <w:b/>
          <w:color w:val="183153"/>
          <w:sz w:val="40"/>
        </w:rPr>
        <w:t>Реестр соответствия ABS‑Rating требованиям 152‑ФЗ</w:t>
      </w:r>
    </w:p>
    <w:p>
      <w:r>
        <w:t>Редакция: 18.07.2026</w:t>
      </w:r>
    </w:p>
    <w:p>
      <w:r>
        <w:t>Оператор по сведениям проекта: ОЧУ «Школа-интернат «Абсолют»</w:t>
      </w:r>
    </w:p>
    <w:p>
      <w:r>
        <w:t xml:space="preserve">Система: ABS‑Rating, </w:t>
      </w:r>
      <w:r>
        <w:rPr>
          <w:rFonts w:ascii="Menlo" w:hAnsi="Menlo"/>
          <w:color w:val="2F6F9F"/>
          <w:sz w:val="16"/>
        </w:rPr>
        <w:t>abs-rating.ru</w:t>
      </w:r>
    </w:p>
    <w:p>
      <w:pPr>
        <w:pStyle w:val="IntenseQuote"/>
      </w:pPr>
      <w:r>
        <w:t>Рабочий комплект для утверждения оператором. Он не заменяет проверку фактической инфраструктуры, договоров, уведомления Роскомнадзора и локальных актов ответственным лицом/юристом.</w:t>
      </w:r>
    </w:p>
    <w:p>
      <w:pPr>
        <w:pStyle w:val="Heading1"/>
      </w:pPr>
      <w:r>
        <w:t>1. Итог проверки</w:t>
      </w:r>
    </w:p>
    <w:p>
      <w:r>
        <w:t>Проведен репозиторный аудит серверного приложения, административных интерфейсов, API, резервных копий, загрузок, журналов, согласий и разграничения школ. Исходный отчет содержал 56 подтвержденных проблем: 1 критическую, 6 высоких, 45 средних и 4 низких. Критический удаленный bootstrap администратора закрыт; внесены приоритетные исправления авторизации, tenant/school‑изоляции, согласий на распространение, загрузок, резервных копий, экспорта учетных данных, rate limit и CSRF.</w:t>
      </w:r>
    </w:p>
    <w:p>
      <w:r>
        <w:t>Оставшиеся обязательные действия делятся на две группы:</w:t>
      </w:r>
    </w:p>
    <w:p>
      <w:pPr>
        <w:ind w:left="369" w:hanging="283"/>
      </w:pPr>
      <w:r>
        <w:rPr>
          <w:b/>
        </w:rPr>
        <w:t xml:space="preserve">1. </w:t>
      </w:r>
      <w:r>
        <w:t>технические — завершить пострелизное тестирование на копии базы, включить централизованный мониторинг, настроить хранение и уничтожение резервных копий;</w:t>
      </w:r>
    </w:p>
    <w:p>
      <w:pPr>
        <w:ind w:left="369" w:hanging="283"/>
      </w:pPr>
      <w:r>
        <w:rPr>
          <w:b/>
        </w:rPr>
        <w:t xml:space="preserve">2. </w:t>
      </w:r>
      <w:r>
        <w:t>организационные — утвердить локальные акты, назначить ответственного, проверить/обновить уведомление Роскомнадзора, оформить поручения обработчикам, определить уровень защищенности ИСПДн и провести оценку вреда.</w:t>
      </w:r>
    </w:p>
    <w:p>
      <w:pPr>
        <w:pStyle w:val="Heading1"/>
      </w:pPr>
      <w:r>
        <w:t>2. Карта процессов и данных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85"/>
        <w:gridCol w:w="1485"/>
        <w:gridCol w:w="1485"/>
        <w:gridCol w:w="1485"/>
        <w:gridCol w:w="1485"/>
        <w:gridCol w:w="1485"/>
        <w:gridCol w:w="1485"/>
      </w:tblGrid>
      <w:tr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4"/>
              </w:rPr>
              <w:t>Процесс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4"/>
              </w:rPr>
              <w:t>Субъекты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4"/>
              </w:rPr>
              <w:t>Данные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4"/>
              </w:rPr>
              <w:t>Цель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4"/>
              </w:rPr>
              <w:t>Возможное основание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4"/>
              </w:rPr>
              <w:t>Доступ/получатели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4"/>
              </w:rPr>
              <w:t>Предлагаемый срок</w:t>
            </w:r>
          </w:p>
        </w:tc>
      </w:tr>
      <w:tr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Учетная запись ученика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ученики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ФИО, класс, логин, ID, статус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доступ к образовательной системе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закон, уставные функции, договор; согласие — только где оно действительно требуется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уполномоченные работники своей школы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период обучения + срок по номенклатуре дел, затем удаление/обезличивание</w:t>
            </w:r>
          </w:p>
        </w:tc>
      </w:tr>
      <w:tr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Профиль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ученики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отображаемое имя, аватар, достижения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персонализация закрытого кабинета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основное основание + отдельное согласие для необязательной фотографии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сам ученик, уполномоченные лица; другие ученики — только в установленном объеме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до удаления профиля/фото или прекращения основания</w:t>
            </w:r>
          </w:p>
        </w:tc>
      </w:tr>
      <w:tr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Рейтинг и достижения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ученики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ФИО/псевдоним, класс, баллы, достижения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мотивация и сопровождение обучения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основание образовательного процесса; отдельное согласие по ст. 10.1 для открытого распространения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закрытая школьная аудитория либо публика при отдельном согласии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учебный год; архив — по утвержденному регламенту</w:t>
            </w:r>
          </w:p>
        </w:tc>
      </w:tr>
      <w:tr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Фото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ученики, сотрудники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изображение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аватар/визуальное представление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отдельное добровольное согласие; для открытой публикации — отдельное согласие на распространение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строго в пределах выбранных каналов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до отзыва/замены, затем удаление из основной системы и копий по графику</w:t>
            </w:r>
          </w:p>
        </w:tc>
      </w:tr>
      <w:tr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Чат и социальные связи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ученики, сотрудники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сообщения, участники, связи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школьная коммуникация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законные функции/правила использования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участники беседы, модераторы по полномочиям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установить конкретный срок, рекомендуемо 1 учебный год + 90 дней</w:t>
            </w:r>
          </w:p>
        </w:tc>
      </w:tr>
      <w:tr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Игровые финансы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ученики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баланс, операции, штрафы, вклады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мотивационная механика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образовательные/организационные функции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ученик и уполномоченные работники своей школы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текущий + предыдущий учебный год, если не требуется дольше</w:t>
            </w:r>
          </w:p>
        </w:tc>
      </w:tr>
      <w:tr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Согласия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ученики, представители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субъект, представитель, полномочия, версия, дата, способ, IP в минимальном объеме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доказательство законности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обязанность оператора доказать согласие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ответственный и уполномоченные администраторы своей школы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срок действия + срок защиты прав оператора по утвержденной номенклатуре</w:t>
            </w:r>
          </w:p>
        </w:tc>
      </w:tr>
      <w:tr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Безопасность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все пользователи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ID, время, событие, сокращенные техданные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защита системы и расследование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законная обязанность оператора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ИБ/ответственный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4"/>
              </w:rPr>
              <w:t>рекомендуемо 1 год; инцидентные записи — по акту расследования</w:t>
            </w:r>
          </w:p>
        </w:tc>
      </w:tr>
      <w:tr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Резервное копирование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все категории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копия рабочих данных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восстановление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то же основание, что у исходных данных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ограниченный круг администраторов</w:t>
            </w:r>
          </w:p>
        </w:tc>
        <w:tc>
          <w:tcPr>
            <w:tcW w:type="dxa" w:w="148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4"/>
              </w:rPr>
              <w:t>ежедневные 30 дней, месячные 12 месяцев, если оператор не утвердит иное</w:t>
            </w:r>
          </w:p>
        </w:tc>
      </w:tr>
    </w:tbl>
    <w:p/>
    <w:p>
      <w:r>
        <w:t>Правовое основание должно быть подтверждено оператором отдельно для каждой цели. Нельзя использовать одно «универсальное» согласие для всех процессов.</w:t>
      </w:r>
    </w:p>
    <w:p>
      <w:pPr>
        <w:pStyle w:val="Heading1"/>
      </w:pPr>
      <w:r>
        <w:t>3. Несовершеннолетние и согласия</w:t>
      </w:r>
    </w:p>
    <w:p>
      <w:pPr>
        <w:pStyle w:val="ListBullet"/>
      </w:pPr>
      <w:r>
        <w:t>Основной доступ к образовательной системе не должен автоматически зависеть от согласия на необязательную фотографию или открытую публикацию.</w:t>
      </w:r>
    </w:p>
    <w:p>
      <w:pPr>
        <w:pStyle w:val="ListBullet"/>
      </w:pPr>
      <w:r>
        <w:t>Согласие должно быть конкретным, предметным, информированным, сознательным и однозначным; заранее отмеченные поля и «продолжение использования означает согласие» для необязательной обработки недопустимы.</w:t>
      </w:r>
    </w:p>
    <w:p>
      <w:pPr>
        <w:pStyle w:val="ListBullet"/>
      </w:pPr>
      <w:r>
        <w:t>Для распространения данных неопределенному кругу лиц требуется отдельное согласие по статье 10.1 152‑ФЗ. В нем отдельно задаются категории данных, цели, информационные ресурсы, запреты и условия.</w:t>
      </w:r>
    </w:p>
    <w:p>
      <w:pPr>
        <w:pStyle w:val="ListBullet"/>
      </w:pPr>
      <w:r>
        <w:t>Отказ от распространения или фотографии не должен лишать ученика основного образовательного функционала.</w:t>
      </w:r>
    </w:p>
    <w:p>
      <w:pPr>
        <w:pStyle w:val="ListBullet"/>
      </w:pPr>
      <w:r>
        <w:t>Для несовершеннолетних safest‑policy системы: отдельное подтвержденное волеизъявление законного представителя на фотографию и распространение с проверкой полномочий.</w:t>
      </w:r>
    </w:p>
    <w:p>
      <w:pPr>
        <w:pStyle w:val="ListBullet"/>
      </w:pPr>
      <w:r>
        <w:t>Фотография является биометрическими персональными данными только если оператор обрабатывает ее для установления личности. В ABS‑Rating распознавание лиц и биометрическая идентификация должны быть запрещены без отдельного проекта и правовой оценки.</w:t>
      </w:r>
    </w:p>
    <w:p>
      <w:pPr>
        <w:pStyle w:val="Heading1"/>
      </w:pPr>
      <w:r>
        <w:t>4. Матрица публикации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66"/>
        <w:gridCol w:w="3466"/>
        <w:gridCol w:w="3466"/>
      </w:tblGrid>
      <w:tr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6"/>
              </w:rPr>
              <w:t>Канал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6"/>
              </w:rPr>
              <w:t>По умолчанию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6"/>
              </w:rPr>
              <w:t>Что требуется</w:t>
            </w:r>
          </w:p>
        </w:tc>
      </w:tr>
      <w:tr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Личный кабинет самого ученика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разрешен в рамках основного процесса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аутентификация и school‑изоляция</w:t>
            </w:r>
          </w:p>
        </w:tc>
      </w:tr>
      <w:tr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Закрытый список внутри своей школы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минимальный набор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роль, необходимость доступа, действующее основание</w:t>
            </w:r>
          </w:p>
        </w:tc>
      </w:tr>
      <w:tr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Рейтинг внутри школы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псевдоним/минимизация предпочтительны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основание образовательного процесса; документированная аудитория</w:t>
            </w:r>
          </w:p>
        </w:tc>
      </w:tr>
      <w:tr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Открытый интернет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запрещен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отдельное согласие по ст. 10.1 с конкретным ресурсом и перечнем данных</w:t>
            </w:r>
          </w:p>
        </w:tc>
      </w:tr>
      <w:tr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Фото в открытом интернете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запрещено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отдельное согласие на фото и распространение; простой отзыв</w:t>
            </w:r>
          </w:p>
        </w:tc>
      </w:tr>
      <w:tr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Экспорт паролей/учетных данных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запрещен по умолчанию</w:t>
            </w:r>
          </w:p>
        </w:tc>
        <w:tc>
          <w:tcPr>
            <w:tcW w:type="dxa" w:w="3466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отдельный привилегированный доступ, журналирование, защищенный канал</w:t>
            </w:r>
          </w:p>
        </w:tc>
      </w:tr>
    </w:tbl>
    <w:p/>
    <w:p>
      <w:pPr>
        <w:pStyle w:val="Heading1"/>
      </w:pPr>
      <w:r>
        <w:t>5. Локализация и обработчики</w:t>
      </w:r>
    </w:p>
    <w:p>
      <w:r>
        <w:t>До начала сбора через интернет запись, систематизация, накопление, хранение, уточнение и извлечение персональных данных граждан РФ должны выполняться с использованием баз данных в РФ. С 01.07.2025 действует усиленное ограничение на первичный сбор в базы за пределами РФ.</w:t>
      </w:r>
    </w:p>
    <w:p>
      <w:r>
        <w:t>Оператору необходимо документально проверить:</w:t>
      </w:r>
    </w:p>
    <w:p>
      <w:pPr>
        <w:pStyle w:val="ListBullet"/>
      </w:pPr>
      <w:r>
        <w:t>фактическую страну размещения основной БД, файлов, резервных копий, журналов и мониторинга;</w:t>
      </w:r>
    </w:p>
    <w:p>
      <w:pPr>
        <w:pStyle w:val="ListBullet"/>
      </w:pPr>
      <w:r>
        <w:t>отсутствие зарубежных CDN, шрифтов, аналитики, error‑tracking и AI‑сервисов, которым уходят идентификаторы/контент;</w:t>
      </w:r>
    </w:p>
    <w:p>
      <w:pPr>
        <w:pStyle w:val="ListBullet"/>
      </w:pPr>
      <w:r>
        <w:t>договор и поручение на обработку с хостингом и каждым обработчиком: перечень данных и операций, цели, конфиденциальность, требования статьи 19, уведомление об инцидентах, уничтожение/возврат данных, подтверждение локализации;</w:t>
      </w:r>
    </w:p>
    <w:p>
      <w:pPr>
        <w:pStyle w:val="ListBullet"/>
      </w:pPr>
      <w:r>
        <w:t>трансграничную передачу — не декларировать как отсутствующую без фактической инвентаризации сетевых интеграций.</w:t>
      </w:r>
    </w:p>
    <w:p>
      <w:pPr>
        <w:pStyle w:val="Heading1"/>
      </w:pPr>
      <w:r>
        <w:t>6. Обязательные локальные документы</w:t>
      </w:r>
    </w:p>
    <w:p>
      <w:pPr>
        <w:pStyle w:val="ListBullet"/>
      </w:pPr>
      <w:r>
        <w:t>приказ о назначении ответственного за организацию обработки ПДн;</w:t>
      </w:r>
    </w:p>
    <w:p>
      <w:pPr>
        <w:pStyle w:val="ListBullet"/>
      </w:pPr>
      <w:r>
        <w:t>политика обработки ПДн и политика информационной безопасности;</w:t>
      </w:r>
    </w:p>
    <w:p>
      <w:pPr>
        <w:pStyle w:val="ListBullet"/>
      </w:pPr>
      <w:r>
        <w:t>перечень ИСПДн, помещений, носителей, должностей и допущенных лиц;</w:t>
      </w:r>
    </w:p>
    <w:p>
      <w:pPr>
        <w:pStyle w:val="ListBullet"/>
      </w:pPr>
      <w:r>
        <w:t>модель угроз, определение уровня защищенности по ПП РФ № 1119 и комплект мер защиты;</w:t>
      </w:r>
    </w:p>
    <w:p>
      <w:pPr>
        <w:pStyle w:val="ListBullet"/>
      </w:pPr>
      <w:r>
        <w:t>оценка вреда по приказу Роскомнадзора № 178;</w:t>
      </w:r>
    </w:p>
    <w:p>
      <w:pPr>
        <w:pStyle w:val="ListBullet"/>
      </w:pPr>
      <w:r>
        <w:t>реестр процессов, целей, категорий субъектов/данных и оснований;</w:t>
      </w:r>
    </w:p>
    <w:p>
      <w:pPr>
        <w:pStyle w:val="ListBullet"/>
      </w:pPr>
      <w:r>
        <w:t>положение о разграничении доступа и матрица ролей;</w:t>
      </w:r>
    </w:p>
    <w:p>
      <w:pPr>
        <w:pStyle w:val="ListBullet"/>
      </w:pPr>
      <w:r>
        <w:t>формы согласия на обработку, фото и отдельного согласия на распространение;</w:t>
      </w:r>
    </w:p>
    <w:p>
      <w:pPr>
        <w:pStyle w:val="ListBullet"/>
      </w:pPr>
      <w:r>
        <w:t>порядок ответа субъектам, уточнения, блокирования, прекращения обработки и уничтожения;</w:t>
      </w:r>
    </w:p>
    <w:p>
      <w:pPr>
        <w:pStyle w:val="ListBullet"/>
      </w:pPr>
      <w:r>
        <w:t>порядок реагирования на инциденты 24/72;</w:t>
      </w:r>
    </w:p>
    <w:p>
      <w:pPr>
        <w:pStyle w:val="ListBullet"/>
      </w:pPr>
      <w:r>
        <w:t>регламент резервного копирования, восстановления и уничтожения копий;</w:t>
      </w:r>
    </w:p>
    <w:p>
      <w:pPr>
        <w:pStyle w:val="ListBullet"/>
      </w:pPr>
      <w:r>
        <w:t>формы актов уничтожения и выгрузки событий из ИСПДн;</w:t>
      </w:r>
    </w:p>
    <w:p>
      <w:pPr>
        <w:pStyle w:val="ListBullet"/>
      </w:pPr>
      <w:r>
        <w:t>журнал обучения, обязательства о конфиденциальности и периодический пересмотр доступов;</w:t>
      </w:r>
    </w:p>
    <w:p>
      <w:pPr>
        <w:pStyle w:val="ListBullet"/>
      </w:pPr>
      <w:r>
        <w:t>реестр поручений обработчикам и внешних интеграций.</w:t>
      </w:r>
    </w:p>
    <w:p>
      <w:pPr>
        <w:pStyle w:val="Heading1"/>
      </w:pPr>
      <w:r>
        <w:t>7. Роскомнадзор</w:t>
      </w:r>
    </w:p>
    <w:p>
      <w:r>
        <w:t>До начала обработки проверить наличие и актуальность уведомления по статье 22. Уведомление должно совпадать с фактом: оператор, адрес, цели, субъекты, категории данных, правовые основания, способы обработки, меры защиты, дата начала, срок/условие прекращения, местонахождение БД, ответственный и обработчики. При изменениях сведения обновляются по установленной форме.</w:t>
      </w:r>
    </w:p>
    <w:p>
      <w:r>
        <w:t>Отдельно проверить, не были ли ошибочно не указаны:</w:t>
      </w:r>
    </w:p>
    <w:p>
      <w:pPr>
        <w:pStyle w:val="ListBullet"/>
      </w:pPr>
      <w:r>
        <w:t>несовершеннолетние и законные представители;</w:t>
      </w:r>
    </w:p>
    <w:p>
      <w:pPr>
        <w:pStyle w:val="ListBullet"/>
      </w:pPr>
      <w:r>
        <w:t>фото, сообщения, рейтинги, игровая финансовая история, IP/логи;</w:t>
      </w:r>
    </w:p>
    <w:p>
      <w:pPr>
        <w:pStyle w:val="ListBullet"/>
      </w:pPr>
      <w:r>
        <w:t>веб‑сайт, мобильное API, резервные копии;</w:t>
      </w:r>
    </w:p>
    <w:p>
      <w:pPr>
        <w:pStyle w:val="ListBullet"/>
      </w:pPr>
      <w:r>
        <w:t>хостинг и иные лица по поручению;</w:t>
      </w:r>
    </w:p>
    <w:p>
      <w:pPr>
        <w:pStyle w:val="ListBullet"/>
      </w:pPr>
      <w:r>
        <w:t>распространение данных в рейтингах или публичных профилях.</w:t>
      </w:r>
    </w:p>
    <w:p>
      <w:pPr>
        <w:pStyle w:val="Heading1"/>
      </w:pPr>
      <w:r>
        <w:t>8. Инцидент 24/72</w:t>
      </w:r>
    </w:p>
    <w:p>
      <w:r>
        <w:t>При неправомерной или случайной передаче, предоставлении, распространении или доступе, повлекших нарушение прав субъектов:</w:t>
      </w:r>
    </w:p>
    <w:p>
      <w:pPr>
        <w:ind w:left="369" w:hanging="283"/>
      </w:pPr>
      <w:r>
        <w:rPr>
          <w:b/>
        </w:rPr>
        <w:t xml:space="preserve">1. </w:t>
      </w:r>
      <w:r>
        <w:t>немедленно зарегистрировать инцидент, сохранить доказательства и ограничить утечку;</w:t>
      </w:r>
    </w:p>
    <w:p>
      <w:pPr>
        <w:ind w:left="369" w:hanging="283"/>
      </w:pPr>
      <w:r>
        <w:rPr>
          <w:b/>
        </w:rPr>
        <w:t xml:space="preserve">2. </w:t>
      </w:r>
      <w:r>
        <w:t>в течение 24 часов уведомить Роскомнадзор: описание, предполагаемые причины и вред, принятые меры, контакт уполномоченного лица;</w:t>
      </w:r>
    </w:p>
    <w:p>
      <w:pPr>
        <w:ind w:left="369" w:hanging="283"/>
      </w:pPr>
      <w:r>
        <w:rPr>
          <w:b/>
        </w:rPr>
        <w:t xml:space="preserve">3. </w:t>
      </w:r>
      <w:r>
        <w:t>провести внутреннее расследование;</w:t>
      </w:r>
    </w:p>
    <w:p>
      <w:pPr>
        <w:ind w:left="369" w:hanging="283"/>
      </w:pPr>
      <w:r>
        <w:rPr>
          <w:b/>
        </w:rPr>
        <w:t xml:space="preserve">4. </w:t>
      </w:r>
      <w:r>
        <w:t>в течение 72 часов сообщить результаты и сведения о виновных лицах, если установлены;</w:t>
      </w:r>
    </w:p>
    <w:p>
      <w:pPr>
        <w:ind w:left="369" w:hanging="283"/>
      </w:pPr>
      <w:r>
        <w:rPr>
          <w:b/>
        </w:rPr>
        <w:t xml:space="preserve">5. </w:t>
      </w:r>
      <w:r>
        <w:t>документировать уведомление субъектов, если оно необходимо по оценке риска и локальным процедурам;</w:t>
      </w:r>
    </w:p>
    <w:p>
      <w:pPr>
        <w:ind w:left="369" w:hanging="283"/>
      </w:pPr>
      <w:r>
        <w:rPr>
          <w:b/>
        </w:rPr>
        <w:t xml:space="preserve">6. </w:t>
      </w:r>
      <w:r>
        <w:t>изменить ключи/пароли, проверить логи, резервные копии, связанные системы и закрыть первопричину.</w:t>
      </w:r>
    </w:p>
    <w:p>
      <w:pPr>
        <w:pStyle w:val="Heading1"/>
      </w:pPr>
      <w:r>
        <w:t>9. Уничтожение и прекращение обработки</w:t>
      </w:r>
    </w:p>
    <w:p>
      <w:pPr>
        <w:pStyle w:val="ListBullet"/>
      </w:pPr>
      <w:r>
        <w:t>Неточные данные уточняются в течение 7 рабочих дней после подтверждения.</w:t>
      </w:r>
    </w:p>
    <w:p>
      <w:pPr>
        <w:pStyle w:val="ListBullet"/>
      </w:pPr>
      <w:r>
        <w:t>Неправомерная обработка прекращается не позднее 3 рабочих дней; если сделать ее правомерной невозможно, данные уничтожаются не позднее 10 рабочих дней.</w:t>
      </w:r>
    </w:p>
    <w:p>
      <w:pPr>
        <w:pStyle w:val="ListBullet"/>
      </w:pPr>
      <w:r>
        <w:t>После достижения цели или отзыва согласия данные уничтожаются, как правило, не позднее 30 дней, если нет иного законного основания.</w:t>
      </w:r>
    </w:p>
    <w:p>
      <w:pPr>
        <w:pStyle w:val="ListBullet"/>
      </w:pPr>
      <w:r>
        <w:t>Требование о прекращении обработки исполняется в течение 10 рабочих дней; допустимо мотивированное продление не более чем на 5 рабочих дней.</w:t>
      </w:r>
    </w:p>
    <w:p>
      <w:pPr>
        <w:pStyle w:val="ListBullet"/>
      </w:pPr>
      <w:r>
        <w:t>Если немедленное уничтожение невозможно, данные блокируются и уничтожаются не позднее 6 месяцев.</w:t>
      </w:r>
    </w:p>
    <w:p>
      <w:pPr>
        <w:pStyle w:val="ListBullet"/>
      </w:pPr>
      <w:r>
        <w:t>Уничтожение подтверждается актом и/или выгрузкой из журнала по приказу Роскомнадзора № 179; процесс должен охватывать БД, файлы, кэш, поисковые индексы, экспорт и резервные копии.</w:t>
      </w:r>
    </w:p>
    <w:p>
      <w:pPr>
        <w:pStyle w:val="Heading1"/>
      </w:pPr>
      <w:r>
        <w:t>10. Выполненные технические меры</w:t>
      </w:r>
    </w:p>
    <w:p>
      <w:pPr>
        <w:pStyle w:val="ListBullet"/>
      </w:pPr>
      <w:r>
        <w:t>web‑bootstrap администратора переведен в CLI‑only режим и закрыт веб‑сервером;</w:t>
      </w:r>
    </w:p>
    <w:p>
      <w:pPr>
        <w:pStyle w:val="ListBullet"/>
      </w:pPr>
      <w:r>
        <w:t>сессии администраторов повторно сверяются с БД, школой, статусом и сроком действия;</w:t>
      </w:r>
    </w:p>
    <w:p>
      <w:pPr>
        <w:pStyle w:val="ListBullet"/>
      </w:pPr>
      <w:r>
        <w:t>добавлено устойчивое ограничение попыток входа;</w:t>
      </w:r>
    </w:p>
    <w:p>
      <w:pPr>
        <w:pStyle w:val="ListBullet"/>
      </w:pPr>
      <w:r>
        <w:t>согласие на распространение отделено от общего основания и фотографии;</w:t>
      </w:r>
    </w:p>
    <w:p>
      <w:pPr>
        <w:pStyle w:val="ListBullet"/>
      </w:pPr>
      <w:r>
        <w:t>запрещен глобальный bypass показа без согласия;</w:t>
      </w:r>
    </w:p>
    <w:p>
      <w:pPr>
        <w:pStyle w:val="ListBullet"/>
      </w:pPr>
      <w:r>
        <w:t>реестр согласий и административные API ограничены текущей школой;</w:t>
      </w:r>
    </w:p>
    <w:p>
      <w:pPr>
        <w:pStyle w:val="ListBullet"/>
      </w:pPr>
      <w:r>
        <w:t>профили, дружба, чат, финансы и переводы получили object/school‑проверки;</w:t>
      </w:r>
    </w:p>
    <w:p>
      <w:pPr>
        <w:pStyle w:val="ListBullet"/>
      </w:pPr>
      <w:r>
        <w:t>SVG и иной активный контент исключены из загрузки аватаров/иконок; растр декодируется и перекодируется;</w:t>
      </w:r>
    </w:p>
    <w:p>
      <w:pPr>
        <w:pStyle w:val="ListBullet"/>
      </w:pPr>
      <w:r>
        <w:t>резервные копии защищены от traversal, временные файлы ограничены правами, пароль БД исключен из аргументов процесса;</w:t>
      </w:r>
    </w:p>
    <w:p>
      <w:pPr>
        <w:pStyle w:val="ListBullet"/>
      </w:pPr>
      <w:r>
        <w:t>массовые экспорты учетных данных ограничены отдельной привилегией и журналированием;</w:t>
      </w:r>
    </w:p>
    <w:p>
      <w:pPr>
        <w:pStyle w:val="ListBullet"/>
      </w:pPr>
      <w:r>
        <w:t>формульная инъекция в CSV/XLSX нейтрализована;</w:t>
      </w:r>
    </w:p>
    <w:p>
      <w:pPr>
        <w:pStyle w:val="ListBullet"/>
      </w:pPr>
      <w:r>
        <w:t>cron резервного копирования закрыт от web‑запуска;</w:t>
      </w:r>
    </w:p>
    <w:p>
      <w:pPr>
        <w:pStyle w:val="ListBullet"/>
      </w:pPr>
      <w:r>
        <w:t>переключение между администраторами без повторной аутентификации отключено.</w:t>
      </w:r>
    </w:p>
    <w:p>
      <w:pPr>
        <w:pStyle w:val="Heading1"/>
      </w:pPr>
      <w:r>
        <w:t>11. Решения, которые должен принять оператор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9"/>
        <w:gridCol w:w="2599"/>
        <w:gridCol w:w="2599"/>
        <w:gridCol w:w="2599"/>
      </w:tblGrid>
      <w:tr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6"/>
              </w:rPr>
              <w:t>Решение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6"/>
              </w:rPr>
              <w:t>Владелец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6"/>
              </w:rPr>
              <w:t>Срок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183153"/>
          </w:tcPr>
          <w:p>
            <w:r>
              <w:rPr>
                <w:b/>
                <w:color w:val="FFFFFF"/>
                <w:sz w:val="16"/>
              </w:rPr>
              <w:t>Подтверждение</w:t>
            </w:r>
          </w:p>
        </w:tc>
      </w:tr>
      <w:tr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Утвердить цели, основания и сроки по таблице процессов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директор + ответственный ПДн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до промышленного запуска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приказ/реестр</w:t>
            </w:r>
          </w:p>
        </w:tc>
      </w:tr>
      <w:tr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Проверить и обновить уведомление Роскомнадзора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ответственный ПДн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до начала/изменения обработки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номер и копия уведомления</w:t>
            </w:r>
          </w:p>
        </w:tc>
      </w:tr>
      <w:tr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Определить УЗ ИСПДн и набор мер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ИБ + комиссия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до запуска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акт классификации/модель угроз</w:t>
            </w:r>
          </w:p>
        </w:tc>
      </w:tr>
      <w:tr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Проверить РФ‑локализацию всех копий и интеграций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ИТ + ответственный ПДн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до запуска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акт и договоры</w:t>
            </w:r>
          </w:p>
        </w:tc>
      </w:tr>
      <w:tr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Утвердить отдельное согласие на распространение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юрист + ответственный ПДн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до открытых рейтингов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форма и версия</w:t>
            </w:r>
          </w:p>
        </w:tc>
      </w:tr>
      <w:tr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Перевыпустить раскрытые секреты инфраструктуры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ИТ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немедленно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журнал ротации</w:t>
            </w:r>
          </w:p>
        </w:tc>
      </w:tr>
      <w:tr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Провести обучение и пересмотр прав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руководители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до выдачи доступа, далее ежегодно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sz w:val="16"/>
              </w:rPr>
              <w:t>журнал обучения</w:t>
            </w:r>
          </w:p>
        </w:tc>
      </w:tr>
      <w:tr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Провести тест восстановления и удаления из backup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ИТ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ежеквартально</w:t>
            </w:r>
          </w:p>
        </w:tc>
        <w:tc>
          <w:tcPr>
            <w:tcW w:type="dxa" w:w="259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EAF2F8"/>
          </w:tcPr>
          <w:p>
            <w:r>
              <w:rPr>
                <w:sz w:val="16"/>
              </w:rPr>
              <w:t>протокол испытания</w:t>
            </w:r>
          </w:p>
        </w:tc>
      </w:tr>
    </w:tbl>
    <w:p/>
    <w:p>
      <w:pPr>
        <w:pStyle w:val="Heading1"/>
      </w:pPr>
      <w:r>
        <w:t>12. Нормативные источники</w:t>
      </w:r>
    </w:p>
    <w:p>
      <w:pPr>
        <w:pStyle w:val="ListBullet"/>
      </w:pPr>
      <w:r>
        <w:t>Федеральный закон № 152‑ФЗ «О персональных данных».</w:t>
      </w:r>
    </w:p>
    <w:p>
      <w:pPr>
        <w:pStyle w:val="ListBullet"/>
      </w:pPr>
      <w:r>
        <w:t>Постановление Правительства РФ от 01.11.2012 № 1119.</w:t>
      </w:r>
    </w:p>
    <w:p>
      <w:pPr>
        <w:pStyle w:val="ListBullet"/>
      </w:pPr>
      <w:r>
        <w:t>Приказ Роскомнадзора от 28.10.2022 № 178 (оценка вреда).</w:t>
      </w:r>
    </w:p>
    <w:p>
      <w:pPr>
        <w:pStyle w:val="ListBullet"/>
      </w:pPr>
      <w:r>
        <w:t>Приказ Роскомнадзора от 28.10.2022 № 179 (подтверждение уничтожения).</w:t>
      </w:r>
    </w:p>
    <w:p>
      <w:pPr>
        <w:pStyle w:val="ListBullet"/>
      </w:pPr>
      <w:r>
        <w:t>Приказ Роскомнадзора от 28.10.2022 № 180 (формы уведомлений).</w:t>
      </w:r>
    </w:p>
    <w:p>
      <w:pPr>
        <w:pStyle w:val="ListBullet"/>
      </w:pPr>
      <w:r>
        <w:t>Федеральный закон от 28.02.2025 № 23‑ФЗ (локализация с 01.07.2025).</w:t>
      </w:r>
    </w:p>
    <w:p>
      <w:r>
        <w:br w:type="page"/>
      </w:r>
    </w:p>
    <w:p>
      <w:pPr>
        <w:spacing w:before="40" w:after="240"/>
        <w:jc w:val="center"/>
      </w:pPr>
      <w:r>
        <w:rPr>
          <w:b/>
          <w:color w:val="183153"/>
          <w:sz w:val="40"/>
        </w:rPr>
        <w:t>Согласие на обработку персональных данных, разрешенных субъектом для распространения</w:t>
      </w:r>
    </w:p>
    <w:p>
      <w:r>
        <w:t>Форма по статье 10.1 Федерального закона № 152‑ФЗ. Заполняется отдельно от согласия на основную обработку.</w:t>
      </w:r>
    </w:p>
    <w:p>
      <w:r>
        <w:t>Оператор: ОЧУ «Школа-интернат «Абсолют»</w:t>
      </w:r>
    </w:p>
    <w:p>
      <w:r>
        <w:t>Адрес: 142250, Московская область, г. о. Серпухов, д. Райсеменовское, д. 12А</w:t>
      </w:r>
    </w:p>
    <w:p>
      <w:r>
        <w:t>E‑mail: school@absolute-school.ru</w:t>
      </w:r>
    </w:p>
    <w:p>
      <w:r>
        <w:t>Я, ________________________________________________________________________,</w:t>
      </w:r>
    </w:p>
    <w:p>
      <w:r>
        <w:t>являющийся(ая) законным представителем ______________________________________,</w:t>
      </w:r>
    </w:p>
    <w:p>
      <w:r>
        <w:t>документ/основание полномочий: ______________________________________________,</w:t>
      </w:r>
    </w:p>
    <w:p>
      <w:r>
        <w:t>даю Оператору согласие на распространение только отмеченных ниже персональных данных:</w:t>
      </w:r>
    </w:p>
    <w:p>
      <w:pPr>
        <w:pStyle w:val="ListBullet"/>
      </w:pPr>
      <w:r>
        <w:t>[ ] фамилия и имя;</w:t>
      </w:r>
    </w:p>
    <w:p>
      <w:pPr>
        <w:pStyle w:val="ListBullet"/>
      </w:pPr>
      <w:r>
        <w:t>[ ] класс/группа;</w:t>
      </w:r>
    </w:p>
    <w:p>
      <w:pPr>
        <w:pStyle w:val="ListBullet"/>
      </w:pPr>
      <w:r>
        <w:t>[ ] фотография;</w:t>
      </w:r>
    </w:p>
    <w:p>
      <w:pPr>
        <w:pStyle w:val="ListBullet"/>
      </w:pPr>
      <w:r>
        <w:t>[ ] рейтинг/баллы;</w:t>
      </w:r>
    </w:p>
    <w:p>
      <w:pPr>
        <w:pStyle w:val="ListBullet"/>
      </w:pPr>
      <w:r>
        <w:t>[ ] достижения/награды;</w:t>
      </w:r>
    </w:p>
    <w:p>
      <w:pPr>
        <w:pStyle w:val="ListBullet"/>
      </w:pPr>
      <w:r>
        <w:t>[ ] иное: ________________________________________________________________.</w:t>
      </w:r>
    </w:p>
    <w:p>
      <w:r>
        <w:t>Цель распространения: _______________________________________________________.</w:t>
      </w:r>
    </w:p>
    <w:p>
      <w:r>
        <w:t>Информационные ресурсы:</w:t>
      </w:r>
    </w:p>
    <w:p>
      <w:pPr>
        <w:pStyle w:val="ListBullet"/>
      </w:pPr>
      <w:r>
        <w:t>[ ] закрытый раздел ABS‑Rating, доступный пользователям своей школы;</w:t>
      </w:r>
    </w:p>
    <w:p>
      <w:pPr>
        <w:pStyle w:val="ListBullet"/>
      </w:pPr>
      <w:r>
        <w:t xml:space="preserve">[ ] открытая страница </w:t>
      </w:r>
      <w:r>
        <w:rPr>
          <w:rFonts w:ascii="Menlo" w:hAnsi="Menlo"/>
          <w:color w:val="2F6F9F"/>
          <w:sz w:val="16"/>
        </w:rPr>
        <w:t>abs-rating.ru</w:t>
      </w:r>
      <w:r>
        <w:t>: ____________________________________;</w:t>
      </w:r>
    </w:p>
    <w:p>
      <w:pPr>
        <w:pStyle w:val="ListBullet"/>
      </w:pPr>
      <w:r>
        <w:t>[ ] официальный сайт школы: ______________________________________________;</w:t>
      </w:r>
    </w:p>
    <w:p>
      <w:pPr>
        <w:pStyle w:val="ListBullet"/>
      </w:pPr>
      <w:r>
        <w:t>[ ] иной ресурс: __________________________________________________________.</w:t>
      </w:r>
    </w:p>
    <w:p>
      <w:r>
        <w:t>Условия и запреты:</w:t>
      </w:r>
    </w:p>
    <w:p>
      <w:pPr>
        <w:pStyle w:val="ListBullet"/>
      </w:pPr>
      <w:r>
        <w:t>[ ] без ограничений в пределах отмеченных ресурсов и срока;</w:t>
      </w:r>
    </w:p>
    <w:p>
      <w:pPr>
        <w:pStyle w:val="ListBullet"/>
      </w:pPr>
      <w:r>
        <w:t>[ ] запрещена передача третьим лицам;</w:t>
      </w:r>
    </w:p>
    <w:p>
      <w:pPr>
        <w:pStyle w:val="ListBullet"/>
      </w:pPr>
      <w:r>
        <w:t>[ ] запрещено копирование/повторная публикация;</w:t>
      </w:r>
    </w:p>
    <w:p>
      <w:pPr>
        <w:pStyle w:val="ListBullet"/>
      </w:pPr>
      <w:r>
        <w:t>[ ] запрещено использование фотографии отдельно от указанного материала;</w:t>
      </w:r>
    </w:p>
    <w:p>
      <w:pPr>
        <w:pStyle w:val="ListBullet"/>
      </w:pPr>
      <w:r>
        <w:t>[ ] иное: ________________________________________________________________.</w:t>
      </w:r>
    </w:p>
    <w:p>
      <w:r>
        <w:t>Срок действия: с «___» __________ 20___ г. до «___» __________ 20___ г. / до отзыва.</w:t>
      </w:r>
    </w:p>
    <w:p>
      <w:r>
        <w:t>Мне разъяснено, что согласие является добровольным, его отказ не ограничивает основной образовательный функционал, а отозвать согласие или установить дополнительные запреты можно обращением к Оператору. После отзыва Оператор прекращает распространение в контролируемых им ресурсах в сроки, установленные законом.</w:t>
      </w:r>
    </w:p>
    <w:p>
      <w:r>
        <w:t>Подпись законного представителя _____________ / _____________________________</w:t>
      </w:r>
    </w:p>
    <w:p>
      <w:r>
        <w:t>Дата «___» __________ 20___ г.</w:t>
      </w:r>
    </w:p>
    <w:p>
      <w:r>
        <w:t>Принял и проверил полномочия: __________________ / ___________________________</w:t>
      </w:r>
    </w:p>
    <w:p>
      <w:r>
        <w:t>Дата внесения в реестр: __________________ Версия формы: 2026‑07‑18</w:t>
      </w:r>
    </w:p>
    <w:p>
      <w:r>
        <w:br w:type="page"/>
      </w:r>
    </w:p>
    <w:p>
      <w:pPr>
        <w:spacing w:before="40" w:after="240"/>
        <w:jc w:val="center"/>
      </w:pPr>
      <w:r>
        <w:rPr>
          <w:b/>
          <w:color w:val="183153"/>
          <w:sz w:val="40"/>
        </w:rPr>
        <w:t>Карточка инцидента с персональными данными</w:t>
      </w:r>
    </w:p>
    <w:p>
      <w:r>
        <w:t>Идентификатор: ____________________ Дата/время выявления: ____________________</w:t>
      </w:r>
    </w:p>
    <w:p>
      <w:pPr>
        <w:pStyle w:val="Heading1"/>
      </w:pPr>
      <w:r>
        <w:t>Первичная фиксация</w:t>
      </w:r>
    </w:p>
    <w:p>
      <w:pPr>
        <w:pStyle w:val="ListBullet"/>
      </w:pPr>
      <w:r>
        <w:t>источник обнаружения:</w:t>
      </w:r>
    </w:p>
    <w:p>
      <w:pPr>
        <w:pStyle w:val="ListBullet"/>
      </w:pPr>
      <w:r>
        <w:t>затронутая система/школа:</w:t>
      </w:r>
    </w:p>
    <w:p>
      <w:pPr>
        <w:pStyle w:val="ListBullet"/>
      </w:pPr>
      <w:r>
        <w:t>категории субъектов и примерное количество:</w:t>
      </w:r>
    </w:p>
    <w:p>
      <w:pPr>
        <w:pStyle w:val="ListBullet"/>
      </w:pPr>
      <w:r>
        <w:t>категории данных:</w:t>
      </w:r>
    </w:p>
    <w:p>
      <w:pPr>
        <w:pStyle w:val="ListBullet"/>
      </w:pPr>
      <w:r>
        <w:t>было ли предоставление, распространение или доступ:</w:t>
      </w:r>
    </w:p>
    <w:p>
      <w:pPr>
        <w:pStyle w:val="ListBullet"/>
      </w:pPr>
      <w:r>
        <w:t>текущий статус локализации:</w:t>
      </w:r>
    </w:p>
    <w:p>
      <w:pPr>
        <w:pStyle w:val="ListBullet"/>
      </w:pPr>
      <w:r>
        <w:t>сохраненные доказательства и логи:</w:t>
      </w:r>
    </w:p>
    <w:p>
      <w:pPr>
        <w:pStyle w:val="ListBullet"/>
      </w:pPr>
      <w:r>
        <w:t>ответственный за расследование:</w:t>
      </w:r>
    </w:p>
    <w:p>
      <w:pPr>
        <w:pStyle w:val="Heading1"/>
      </w:pPr>
      <w:r>
        <w:t>Уведомление в течение 24 часов</w:t>
      </w:r>
    </w:p>
    <w:p>
      <w:pPr>
        <w:pStyle w:val="ListBullet"/>
      </w:pPr>
      <w:r>
        <w:t>дата/время отправки Роскомнадзору:</w:t>
      </w:r>
    </w:p>
    <w:p>
      <w:pPr>
        <w:pStyle w:val="ListBullet"/>
      </w:pPr>
      <w:r>
        <w:t>описание события:</w:t>
      </w:r>
    </w:p>
    <w:p>
      <w:pPr>
        <w:pStyle w:val="ListBullet"/>
      </w:pPr>
      <w:r>
        <w:t>предполагаемые причины:</w:t>
      </w:r>
    </w:p>
    <w:p>
      <w:pPr>
        <w:pStyle w:val="ListBullet"/>
      </w:pPr>
      <w:r>
        <w:t>предполагаемый вред:</w:t>
      </w:r>
    </w:p>
    <w:p>
      <w:pPr>
        <w:pStyle w:val="ListBullet"/>
      </w:pPr>
      <w:r>
        <w:t>принятые меры:</w:t>
      </w:r>
    </w:p>
    <w:p>
      <w:pPr>
        <w:pStyle w:val="ListBullet"/>
      </w:pPr>
      <w:r>
        <w:t>уполномоченное контактное лицо:</w:t>
      </w:r>
    </w:p>
    <w:p>
      <w:pPr>
        <w:pStyle w:val="ListBullet"/>
      </w:pPr>
      <w:r>
        <w:t>регистрационный номер/подтверждение:</w:t>
      </w:r>
    </w:p>
    <w:p>
      <w:pPr>
        <w:pStyle w:val="Heading1"/>
      </w:pPr>
      <w:r>
        <w:t>Дополнение в течение 72 часов</w:t>
      </w:r>
    </w:p>
    <w:p>
      <w:pPr>
        <w:pStyle w:val="ListBullet"/>
      </w:pPr>
      <w:r>
        <w:t>результаты внутреннего расследования:</w:t>
      </w:r>
    </w:p>
    <w:p>
      <w:pPr>
        <w:pStyle w:val="ListBullet"/>
      </w:pPr>
      <w:r>
        <w:t>установленная первопричина:</w:t>
      </w:r>
    </w:p>
    <w:p>
      <w:pPr>
        <w:pStyle w:val="ListBullet"/>
      </w:pPr>
      <w:r>
        <w:t>сведения о виновных лицах при наличии:</w:t>
      </w:r>
    </w:p>
    <w:p>
      <w:pPr>
        <w:pStyle w:val="ListBullet"/>
      </w:pPr>
      <w:r>
        <w:t>полный охват затронутых субъектов/данных:</w:t>
      </w:r>
    </w:p>
    <w:p>
      <w:pPr>
        <w:pStyle w:val="ListBullet"/>
      </w:pPr>
      <w:r>
        <w:t>меры предотвращения повторения:</w:t>
      </w:r>
    </w:p>
    <w:p>
      <w:pPr>
        <w:pStyle w:val="ListBullet"/>
      </w:pPr>
      <w:r>
        <w:t>дата/время отправки дополнения и подтверждение:</w:t>
      </w:r>
    </w:p>
    <w:p>
      <w:pPr>
        <w:pStyle w:val="Heading1"/>
      </w:pPr>
      <w:r>
        <w:t>Закрытие</w:t>
      </w:r>
    </w:p>
    <w:p>
      <w:pPr>
        <w:pStyle w:val="ListBullet"/>
      </w:pPr>
      <w:r>
        <w:t>необходимость уведомить субъектов и принятое решение:</w:t>
      </w:r>
    </w:p>
    <w:p>
      <w:pPr>
        <w:pStyle w:val="ListBullet"/>
      </w:pPr>
      <w:r>
        <w:t>ротация ключей/паролей:</w:t>
      </w:r>
    </w:p>
    <w:p>
      <w:pPr>
        <w:pStyle w:val="ListBullet"/>
      </w:pPr>
      <w:r>
        <w:t>проверка резервных копий и связанных систем:</w:t>
      </w:r>
    </w:p>
    <w:p>
      <w:pPr>
        <w:pStyle w:val="ListBullet"/>
      </w:pPr>
      <w:r>
        <w:t>удаление/возврат неправомерно полученных копий:</w:t>
      </w:r>
    </w:p>
    <w:p>
      <w:pPr>
        <w:pStyle w:val="ListBullet"/>
      </w:pPr>
      <w:r>
        <w:t>ссылка на задачу исправления и результаты проверки:</w:t>
      </w:r>
    </w:p>
    <w:p>
      <w:pPr>
        <w:pStyle w:val="ListBullet"/>
      </w:pPr>
      <w:r>
        <w:t>дата закрытия, ФИО и подпись ответственного: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822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6573"/>
        <w:sz w:val="14"/>
      </w:rPr>
      <w:t xml:space="preserve">Рабочая редакция 18.07.2026  •  стр. </w:t>
    </w:r>
    <w:r>
      <w:rPr>
        <w:rFonts w:ascii="Arial" w:hAnsi="Arial"/>
        <w:color w:val="5B6573"/>
        <w:sz w:val="14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5B6573"/>
        <w:sz w:val="14"/>
      </w:rPr>
      <w:t>ABS‑RATING  •  КОМПЛЕКТ ПО ПЕРСОНАЛЬНЫМ ДАННЫМ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8315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F6F9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18315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соответствия ABS‑Rating требованиям 152‑ФЗ</dc:title>
  <dc:subject>Персональные данные обучающихся</dc:subject>
  <dc:creator>ABS‑Rating</dc:creator>
  <cp:keywords>152-ФЗ, персональные данные, обучающиеся, согласие, Роскомнадзор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